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81C51" w14:textId="77777777" w:rsidR="005879FC" w:rsidRDefault="00703250">
      <w:pPr>
        <w:spacing w:before="60"/>
        <w:ind w:left="1156"/>
        <w:rPr>
          <w:b/>
          <w:sz w:val="28"/>
        </w:rPr>
      </w:pPr>
      <w:r>
        <w:rPr>
          <w:b/>
          <w:sz w:val="28"/>
        </w:rPr>
        <w:t>Vice-Chair of Research, Department of Emergency Medicine</w:t>
      </w:r>
    </w:p>
    <w:p w14:paraId="217309F2" w14:textId="77777777" w:rsidR="005879FC" w:rsidRDefault="00703250">
      <w:pPr>
        <w:pStyle w:val="BodyText"/>
        <w:spacing w:before="72"/>
        <w:ind w:left="119" w:right="115"/>
      </w:pPr>
      <w:r>
        <w:t xml:space="preserve">The </w:t>
      </w:r>
      <w:r w:rsidR="00F36A1E">
        <w:t xml:space="preserve">Rutgers </w:t>
      </w:r>
      <w:r w:rsidR="00050F38">
        <w:t>R</w:t>
      </w:r>
      <w:r w:rsidR="00F36A1E">
        <w:t>obert Wood Johnson Medical School</w:t>
      </w:r>
      <w:r w:rsidR="00050F38">
        <w:t xml:space="preserve"> </w:t>
      </w:r>
      <w:r w:rsidR="00F36A1E">
        <w:t xml:space="preserve">Department of </w:t>
      </w:r>
      <w:r>
        <w:t>Emerge</w:t>
      </w:r>
      <w:r w:rsidR="00F36A1E">
        <w:t>ncy Medicine is seeking a Vice-</w:t>
      </w:r>
      <w:r>
        <w:t>Chair of Research to be</w:t>
      </w:r>
      <w:r w:rsidR="00F36A1E">
        <w:t>come</w:t>
      </w:r>
      <w:r>
        <w:t xml:space="preserve"> an integral member </w:t>
      </w:r>
      <w:r w:rsidR="00F36A1E">
        <w:t xml:space="preserve">of the department leadership and our </w:t>
      </w:r>
      <w:r>
        <w:t xml:space="preserve">growing </w:t>
      </w:r>
      <w:r w:rsidR="00F36A1E">
        <w:t xml:space="preserve">academic </w:t>
      </w:r>
      <w:r>
        <w:t xml:space="preserve">emergency </w:t>
      </w:r>
      <w:r w:rsidR="00050F38">
        <w:t xml:space="preserve">medicine service line.  Robert Wood Johnson University Hospital in New Brunswick (RWJUHNB) is a 605-bed Academic Medical Center, Level 1 Trauma Center.    RWJUHNB serves as the Academic Hub of the 13 hospital Robert Wood Johnson Barnabas Health System. </w:t>
      </w:r>
      <w:r>
        <w:t>The Vice-Chair of Re</w:t>
      </w:r>
      <w:r w:rsidR="00050F38">
        <w:t xml:space="preserve">search will lead </w:t>
      </w:r>
      <w:r w:rsidR="00F36A1E">
        <w:t>the Department and service line</w:t>
      </w:r>
      <w:r w:rsidR="00050F38">
        <w:t xml:space="preserve"> </w:t>
      </w:r>
      <w:r>
        <w:t xml:space="preserve">research activities. S/he will be responsible for providing the vision, strategic direction, and environment to grow and sustain the expansion of research. This position will interact and collaborate with multiple departments and the various institutes throughout the </w:t>
      </w:r>
      <w:r w:rsidR="00F85D8E">
        <w:t>Rutgers Biomedical Health Science</w:t>
      </w:r>
      <w:r w:rsidR="00F36A1E">
        <w:t>s</w:t>
      </w:r>
      <w:r w:rsidR="00F85D8E">
        <w:t xml:space="preserve"> and RWJ</w:t>
      </w:r>
      <w:r w:rsidR="00F36A1E">
        <w:t xml:space="preserve"> </w:t>
      </w:r>
      <w:r w:rsidR="00F85D8E">
        <w:t>Barnabas Health</w:t>
      </w:r>
      <w:r w:rsidR="00F85D8E" w:rsidRPr="00F36A1E">
        <w:t>.</w:t>
      </w:r>
      <w:r w:rsidRPr="00F36A1E">
        <w:t xml:space="preserve"> The long-term vision is for growth within the Department of Emergency Medicine that will lead long-term research sustainability</w:t>
      </w:r>
      <w:r>
        <w:t>.</w:t>
      </w:r>
    </w:p>
    <w:p w14:paraId="55515D6F" w14:textId="77777777" w:rsidR="005879FC" w:rsidRDefault="005879FC">
      <w:pPr>
        <w:pStyle w:val="BodyText"/>
        <w:ind w:left="0"/>
      </w:pPr>
    </w:p>
    <w:p w14:paraId="2D7A40F8" w14:textId="77777777" w:rsidR="005879FC" w:rsidRDefault="00703250">
      <w:pPr>
        <w:pStyle w:val="BodyText"/>
        <w:spacing w:line="252" w:lineRule="exact"/>
        <w:ind w:left="119"/>
      </w:pPr>
      <w:r>
        <w:t>Overall Responsibilities:</w:t>
      </w:r>
    </w:p>
    <w:p w14:paraId="461B352C" w14:textId="77777777" w:rsidR="005879FC" w:rsidRDefault="00703250">
      <w:pPr>
        <w:pStyle w:val="ListParagraph"/>
        <w:numPr>
          <w:ilvl w:val="0"/>
          <w:numId w:val="1"/>
        </w:numPr>
        <w:tabs>
          <w:tab w:val="left" w:pos="840"/>
        </w:tabs>
        <w:spacing w:line="240" w:lineRule="auto"/>
        <w:ind w:right="297"/>
      </w:pPr>
      <w:r>
        <w:t xml:space="preserve">Growth </w:t>
      </w:r>
      <w:r w:rsidR="00F36A1E">
        <w:t xml:space="preserve">of </w:t>
      </w:r>
      <w:r>
        <w:t xml:space="preserve">research </w:t>
      </w:r>
      <w:r w:rsidR="00F36A1E">
        <w:t>with</w:t>
      </w:r>
      <w:r>
        <w:t>in the department, including, but not limited to: clinical research, health services,</w:t>
      </w:r>
      <w:r w:rsidR="00F85D8E">
        <w:t xml:space="preserve"> population health</w:t>
      </w:r>
      <w:r>
        <w:t xml:space="preserve"> and medical</w:t>
      </w:r>
      <w:r>
        <w:rPr>
          <w:spacing w:val="-17"/>
        </w:rPr>
        <w:t xml:space="preserve"> </w:t>
      </w:r>
      <w:r>
        <w:t>education</w:t>
      </w:r>
    </w:p>
    <w:p w14:paraId="1CD3B2FA" w14:textId="77777777" w:rsidR="005879FC" w:rsidRDefault="00703250">
      <w:pPr>
        <w:pStyle w:val="ListParagraph"/>
        <w:numPr>
          <w:ilvl w:val="0"/>
          <w:numId w:val="1"/>
        </w:numPr>
        <w:tabs>
          <w:tab w:val="left" w:pos="840"/>
        </w:tabs>
        <w:spacing w:line="240" w:lineRule="auto"/>
        <w:ind w:right="458" w:hanging="359"/>
      </w:pPr>
      <w:r>
        <w:t>To provide the leadership and mentorship necessary to achieve our goal of becoming an NIH- funded</w:t>
      </w:r>
      <w:r>
        <w:rPr>
          <w:spacing w:val="-4"/>
        </w:rPr>
        <w:t xml:space="preserve"> </w:t>
      </w:r>
      <w:r>
        <w:t>program</w:t>
      </w:r>
    </w:p>
    <w:p w14:paraId="0085DA12" w14:textId="77777777" w:rsidR="005879FC" w:rsidRDefault="00703250">
      <w:pPr>
        <w:pStyle w:val="ListParagraph"/>
        <w:numPr>
          <w:ilvl w:val="0"/>
          <w:numId w:val="1"/>
        </w:numPr>
        <w:tabs>
          <w:tab w:val="left" w:pos="840"/>
        </w:tabs>
        <w:ind w:hanging="359"/>
      </w:pPr>
      <w:r>
        <w:t>To improve the scientific basis for high quality emergency care</w:t>
      </w:r>
      <w:r>
        <w:rPr>
          <w:spacing w:val="-19"/>
        </w:rPr>
        <w:t xml:space="preserve"> </w:t>
      </w:r>
      <w:r>
        <w:t>delivery</w:t>
      </w:r>
    </w:p>
    <w:p w14:paraId="2A0B8F53" w14:textId="77777777" w:rsidR="005879FC" w:rsidRDefault="00703250">
      <w:pPr>
        <w:pStyle w:val="ListParagraph"/>
        <w:numPr>
          <w:ilvl w:val="0"/>
          <w:numId w:val="1"/>
        </w:numPr>
        <w:tabs>
          <w:tab w:val="left" w:pos="840"/>
        </w:tabs>
        <w:spacing w:before="1" w:line="240" w:lineRule="auto"/>
        <w:ind w:right="106" w:hanging="359"/>
      </w:pPr>
      <w:r>
        <w:t>To advance the national reputation of the Department by means of resear</w:t>
      </w:r>
      <w:r w:rsidR="00F36A1E">
        <w:t>ch excellence through increased</w:t>
      </w:r>
      <w:r>
        <w:t xml:space="preserve"> funded clinical resear</w:t>
      </w:r>
      <w:r w:rsidR="004260C3">
        <w:t xml:space="preserve">ch, increased publications, and </w:t>
      </w:r>
      <w:r>
        <w:t>enrollment in clinical</w:t>
      </w:r>
      <w:r>
        <w:rPr>
          <w:spacing w:val="-12"/>
        </w:rPr>
        <w:t xml:space="preserve"> </w:t>
      </w:r>
      <w:r w:rsidR="004260C3">
        <w:t>trials</w:t>
      </w:r>
    </w:p>
    <w:p w14:paraId="18863221" w14:textId="77777777" w:rsidR="005879FC" w:rsidRDefault="00703250">
      <w:pPr>
        <w:pStyle w:val="ListParagraph"/>
        <w:numPr>
          <w:ilvl w:val="0"/>
          <w:numId w:val="1"/>
        </w:numPr>
        <w:tabs>
          <w:tab w:val="left" w:pos="840"/>
        </w:tabs>
        <w:spacing w:before="1" w:line="240" w:lineRule="auto"/>
        <w:ind w:right="178" w:hanging="359"/>
      </w:pPr>
      <w:r>
        <w:t>Diversity Equity and Inclusion is critical to the long-term success of the department. A particular focus on mentorship and development of learners and faculty from under-represented groups in medicine is a</w:t>
      </w:r>
      <w:r>
        <w:rPr>
          <w:spacing w:val="-3"/>
        </w:rPr>
        <w:t xml:space="preserve"> </w:t>
      </w:r>
      <w:r>
        <w:t>priority.</w:t>
      </w:r>
    </w:p>
    <w:p w14:paraId="6F3DEC32" w14:textId="77777777" w:rsidR="005879FC" w:rsidRDefault="005879FC">
      <w:pPr>
        <w:pStyle w:val="BodyText"/>
        <w:spacing w:before="9"/>
        <w:ind w:left="0"/>
        <w:rPr>
          <w:sz w:val="21"/>
        </w:rPr>
      </w:pPr>
    </w:p>
    <w:p w14:paraId="359B384F" w14:textId="77777777" w:rsidR="005879FC" w:rsidRDefault="00703250">
      <w:pPr>
        <w:pStyle w:val="BodyText"/>
        <w:ind w:left="120"/>
      </w:pPr>
      <w:r>
        <w:t>Primary Responsibilities:</w:t>
      </w:r>
    </w:p>
    <w:p w14:paraId="1ECBED6B" w14:textId="77777777" w:rsidR="005879FC" w:rsidRDefault="00703250">
      <w:pPr>
        <w:pStyle w:val="ListParagraph"/>
        <w:numPr>
          <w:ilvl w:val="1"/>
          <w:numId w:val="1"/>
        </w:numPr>
        <w:tabs>
          <w:tab w:val="left" w:pos="840"/>
        </w:tabs>
        <w:spacing w:line="253" w:lineRule="exact"/>
      </w:pPr>
      <w:r>
        <w:t>Administrative</w:t>
      </w:r>
    </w:p>
    <w:p w14:paraId="105FD6A0" w14:textId="77777777" w:rsidR="005879FC" w:rsidRDefault="00F85D8E">
      <w:pPr>
        <w:pStyle w:val="ListParagraph"/>
        <w:numPr>
          <w:ilvl w:val="2"/>
          <w:numId w:val="1"/>
        </w:numPr>
        <w:tabs>
          <w:tab w:val="left" w:pos="1560"/>
        </w:tabs>
        <w:spacing w:before="21"/>
        <w:ind w:right="586"/>
      </w:pPr>
      <w:r>
        <w:t>Recruit</w:t>
      </w:r>
      <w:r w:rsidR="00703250">
        <w:t xml:space="preserve"> additional</w:t>
      </w:r>
      <w:r>
        <w:t xml:space="preserve"> NIH funded, tenure track</w:t>
      </w:r>
      <w:r w:rsidR="00703250">
        <w:t xml:space="preserve"> research faculty (including MD</w:t>
      </w:r>
      <w:r>
        <w:t>, DO</w:t>
      </w:r>
      <w:r w:rsidR="00703250">
        <w:t xml:space="preserve"> and PhD) in areas of departmental</w:t>
      </w:r>
      <w:r w:rsidR="00703250">
        <w:rPr>
          <w:spacing w:val="-4"/>
        </w:rPr>
        <w:t xml:space="preserve"> </w:t>
      </w:r>
      <w:r w:rsidR="00703250">
        <w:t>focus.</w:t>
      </w:r>
    </w:p>
    <w:p w14:paraId="47B966CE" w14:textId="77777777" w:rsidR="005879FC" w:rsidRDefault="00703250">
      <w:pPr>
        <w:pStyle w:val="ListParagraph"/>
        <w:numPr>
          <w:ilvl w:val="2"/>
          <w:numId w:val="1"/>
        </w:numPr>
        <w:tabs>
          <w:tab w:val="left" w:pos="1560"/>
        </w:tabs>
        <w:spacing w:line="273" w:lineRule="exact"/>
      </w:pPr>
      <w:r>
        <w:t>Assist with development of annual budget for clinical and basic sciences</w:t>
      </w:r>
      <w:r>
        <w:rPr>
          <w:spacing w:val="-18"/>
        </w:rPr>
        <w:t xml:space="preserve"> </w:t>
      </w:r>
      <w:r>
        <w:t>research.</w:t>
      </w:r>
    </w:p>
    <w:p w14:paraId="2EA9CCE5" w14:textId="77777777" w:rsidR="005879FC" w:rsidRDefault="00F85D8E">
      <w:pPr>
        <w:pStyle w:val="ListParagraph"/>
        <w:numPr>
          <w:ilvl w:val="2"/>
          <w:numId w:val="1"/>
        </w:numPr>
        <w:tabs>
          <w:tab w:val="left" w:pos="1560"/>
        </w:tabs>
        <w:spacing w:line="237" w:lineRule="auto"/>
        <w:ind w:right="395"/>
      </w:pPr>
      <w:r>
        <w:t xml:space="preserve">Together with the Chair </w:t>
      </w:r>
      <w:r w:rsidR="00703250">
        <w:t>and Senior Administrator, oversee overall research funds flows including ensuring appropriate and sustainable staffing levels, appropriate use of funds,</w:t>
      </w:r>
      <w:r w:rsidR="00703250">
        <w:rPr>
          <w:spacing w:val="-10"/>
        </w:rPr>
        <w:t xml:space="preserve"> </w:t>
      </w:r>
      <w:r w:rsidR="00703250">
        <w:t>etc.</w:t>
      </w:r>
    </w:p>
    <w:p w14:paraId="432641C9" w14:textId="77777777" w:rsidR="005879FC" w:rsidRDefault="00703250">
      <w:pPr>
        <w:pStyle w:val="ListParagraph"/>
        <w:numPr>
          <w:ilvl w:val="2"/>
          <w:numId w:val="1"/>
        </w:numPr>
        <w:tabs>
          <w:tab w:val="left" w:pos="1560"/>
        </w:tabs>
        <w:spacing w:line="274" w:lineRule="exact"/>
      </w:pPr>
      <w:r>
        <w:t>Maintain databases to provide information for research reports and research</w:t>
      </w:r>
      <w:r>
        <w:rPr>
          <w:spacing w:val="-25"/>
        </w:rPr>
        <w:t xml:space="preserve"> </w:t>
      </w:r>
      <w:r>
        <w:t>updates.</w:t>
      </w:r>
    </w:p>
    <w:p w14:paraId="2DB698A2" w14:textId="77777777" w:rsidR="00F85D8E" w:rsidRDefault="00F85D8E">
      <w:pPr>
        <w:pStyle w:val="ListParagraph"/>
        <w:numPr>
          <w:ilvl w:val="2"/>
          <w:numId w:val="1"/>
        </w:numPr>
        <w:tabs>
          <w:tab w:val="left" w:pos="1560"/>
        </w:tabs>
        <w:spacing w:line="274" w:lineRule="exact"/>
      </w:pPr>
      <w:r>
        <w:t>Create a Clinical Research Network including all of the Rutgers EM residencies and RWJBH clinical sites.</w:t>
      </w:r>
    </w:p>
    <w:p w14:paraId="510A45CF" w14:textId="77777777" w:rsidR="005879FC" w:rsidRDefault="00703250">
      <w:pPr>
        <w:pStyle w:val="ListParagraph"/>
        <w:numPr>
          <w:ilvl w:val="2"/>
          <w:numId w:val="1"/>
        </w:numPr>
        <w:tabs>
          <w:tab w:val="left" w:pos="1560"/>
        </w:tabs>
        <w:spacing w:before="20"/>
        <w:ind w:right="876"/>
      </w:pPr>
      <w:r>
        <w:t>Participate in and lead discussions of research topics and concerns at the student, resident, fellow, faculty, executive, and institutional</w:t>
      </w:r>
      <w:r>
        <w:rPr>
          <w:spacing w:val="-15"/>
        </w:rPr>
        <w:t xml:space="preserve"> </w:t>
      </w:r>
      <w:r>
        <w:t>levels.</w:t>
      </w:r>
    </w:p>
    <w:p w14:paraId="1224F091" w14:textId="77777777" w:rsidR="005879FC" w:rsidRDefault="00703250">
      <w:pPr>
        <w:pStyle w:val="ListParagraph"/>
        <w:numPr>
          <w:ilvl w:val="1"/>
          <w:numId w:val="1"/>
        </w:numPr>
        <w:tabs>
          <w:tab w:val="left" w:pos="840"/>
        </w:tabs>
        <w:spacing w:line="251" w:lineRule="exact"/>
        <w:ind w:hanging="359"/>
      </w:pPr>
      <w:r>
        <w:t>Research</w:t>
      </w:r>
    </w:p>
    <w:p w14:paraId="2E2DA067" w14:textId="77777777" w:rsidR="005879FC" w:rsidRDefault="00703250">
      <w:pPr>
        <w:pStyle w:val="ListParagraph"/>
        <w:numPr>
          <w:ilvl w:val="2"/>
          <w:numId w:val="1"/>
        </w:numPr>
        <w:tabs>
          <w:tab w:val="left" w:pos="1560"/>
        </w:tabs>
        <w:spacing w:line="273" w:lineRule="exact"/>
      </w:pPr>
      <w:r>
        <w:t>Secure departmen</w:t>
      </w:r>
      <w:r w:rsidR="004260C3">
        <w:t xml:space="preserve">t research funding – NIH, local, national and other organization, </w:t>
      </w:r>
      <w:r>
        <w:t>and industry</w:t>
      </w:r>
      <w:r>
        <w:rPr>
          <w:spacing w:val="-22"/>
        </w:rPr>
        <w:t xml:space="preserve"> </w:t>
      </w:r>
      <w:r>
        <w:t>support.</w:t>
      </w:r>
    </w:p>
    <w:p w14:paraId="276F4BF6" w14:textId="77777777" w:rsidR="005879FC" w:rsidRDefault="00703250">
      <w:pPr>
        <w:pStyle w:val="ListParagraph"/>
        <w:numPr>
          <w:ilvl w:val="2"/>
          <w:numId w:val="1"/>
        </w:numPr>
        <w:tabs>
          <w:tab w:val="left" w:pos="1560"/>
        </w:tabs>
        <w:spacing w:before="18" w:line="254" w:lineRule="exact"/>
        <w:ind w:right="100"/>
      </w:pPr>
      <w:r>
        <w:t xml:space="preserve">Coordinate clinical research with </w:t>
      </w:r>
      <w:r w:rsidR="004260C3">
        <w:t>other</w:t>
      </w:r>
      <w:r>
        <w:t xml:space="preserve"> departments</w:t>
      </w:r>
      <w:r w:rsidR="004260C3">
        <w:t xml:space="preserve"> and institutes</w:t>
      </w:r>
      <w:r>
        <w:t xml:space="preserve"> and actively develop new research collaborations.</w:t>
      </w:r>
    </w:p>
    <w:p w14:paraId="73C1ED36" w14:textId="77777777" w:rsidR="005879FC" w:rsidRDefault="00703250">
      <w:pPr>
        <w:pStyle w:val="ListParagraph"/>
        <w:numPr>
          <w:ilvl w:val="2"/>
          <w:numId w:val="1"/>
        </w:numPr>
        <w:tabs>
          <w:tab w:val="left" w:pos="1560"/>
        </w:tabs>
        <w:spacing w:before="18"/>
        <w:ind w:right="486"/>
      </w:pPr>
      <w:r>
        <w:t xml:space="preserve">Seek, obtain, and implement industry-funded </w:t>
      </w:r>
      <w:r w:rsidR="004260C3">
        <w:t>trials, which</w:t>
      </w:r>
      <w:r>
        <w:t xml:space="preserve"> either advance our core missions or provide additional support to research</w:t>
      </w:r>
      <w:r>
        <w:rPr>
          <w:spacing w:val="-15"/>
        </w:rPr>
        <w:t xml:space="preserve"> </w:t>
      </w:r>
      <w:r>
        <w:t>staff.</w:t>
      </w:r>
    </w:p>
    <w:p w14:paraId="71B63071" w14:textId="77777777" w:rsidR="005879FC" w:rsidRDefault="00703250">
      <w:pPr>
        <w:pStyle w:val="ListParagraph"/>
        <w:numPr>
          <w:ilvl w:val="2"/>
          <w:numId w:val="1"/>
        </w:numPr>
        <w:tabs>
          <w:tab w:val="left" w:pos="1560"/>
        </w:tabs>
        <w:spacing w:before="22"/>
        <w:ind w:right="919"/>
      </w:pPr>
      <w:r>
        <w:t>Oversee research budgets for all clinical trials to ensure they are appropriate and equitable.</w:t>
      </w:r>
    </w:p>
    <w:p w14:paraId="756D5AC1" w14:textId="77777777" w:rsidR="005879FC" w:rsidRDefault="00703250">
      <w:pPr>
        <w:pStyle w:val="ListParagraph"/>
        <w:numPr>
          <w:ilvl w:val="1"/>
          <w:numId w:val="1"/>
        </w:numPr>
        <w:tabs>
          <w:tab w:val="left" w:pos="840"/>
        </w:tabs>
        <w:spacing w:line="249" w:lineRule="exact"/>
        <w:ind w:hanging="359"/>
      </w:pPr>
      <w:r>
        <w:t>Mentorship</w:t>
      </w:r>
    </w:p>
    <w:p w14:paraId="7F3F9A1E" w14:textId="77777777" w:rsidR="005879FC" w:rsidRDefault="00703250">
      <w:pPr>
        <w:pStyle w:val="ListParagraph"/>
        <w:numPr>
          <w:ilvl w:val="2"/>
          <w:numId w:val="1"/>
        </w:numPr>
        <w:tabs>
          <w:tab w:val="left" w:pos="1560"/>
        </w:tabs>
        <w:spacing w:before="24"/>
        <w:ind w:right="1099"/>
      </w:pPr>
      <w:r>
        <w:t>Oversee career development/effort of junior clinical research faculty, ensuring appropriate commitment, effort, and</w:t>
      </w:r>
      <w:r>
        <w:rPr>
          <w:spacing w:val="-12"/>
        </w:rPr>
        <w:t xml:space="preserve"> </w:t>
      </w:r>
      <w:r>
        <w:t>productivity.</w:t>
      </w:r>
    </w:p>
    <w:p w14:paraId="4608626A" w14:textId="77777777" w:rsidR="005879FC" w:rsidRDefault="004260C3">
      <w:pPr>
        <w:pStyle w:val="ListParagraph"/>
        <w:numPr>
          <w:ilvl w:val="2"/>
          <w:numId w:val="1"/>
        </w:numPr>
        <w:tabs>
          <w:tab w:val="left" w:pos="1560"/>
        </w:tabs>
        <w:spacing w:before="101"/>
        <w:ind w:right="884"/>
      </w:pPr>
      <w:r>
        <w:t>Mentor</w:t>
      </w:r>
      <w:r w:rsidR="00703250">
        <w:t xml:space="preserve"> trainees (residents, fellows) who have self-identified as committed future research</w:t>
      </w:r>
      <w:r w:rsidR="00703250">
        <w:rPr>
          <w:spacing w:val="-7"/>
        </w:rPr>
        <w:t xml:space="preserve"> </w:t>
      </w:r>
      <w:r w:rsidR="00703250">
        <w:t>faculty</w:t>
      </w:r>
    </w:p>
    <w:p w14:paraId="4AB45D8A" w14:textId="77777777" w:rsidR="005879FC" w:rsidRDefault="00703250">
      <w:pPr>
        <w:pStyle w:val="ListParagraph"/>
        <w:numPr>
          <w:ilvl w:val="1"/>
          <w:numId w:val="1"/>
        </w:numPr>
        <w:tabs>
          <w:tab w:val="left" w:pos="840"/>
        </w:tabs>
        <w:spacing w:line="251" w:lineRule="exact"/>
        <w:ind w:hanging="359"/>
      </w:pPr>
      <w:r>
        <w:t>Education</w:t>
      </w:r>
    </w:p>
    <w:p w14:paraId="04755998" w14:textId="77777777" w:rsidR="005879FC" w:rsidRDefault="00703250">
      <w:pPr>
        <w:pStyle w:val="ListParagraph"/>
        <w:numPr>
          <w:ilvl w:val="2"/>
          <w:numId w:val="1"/>
        </w:numPr>
        <w:tabs>
          <w:tab w:val="left" w:pos="1560"/>
        </w:tabs>
        <w:spacing w:before="2" w:line="237" w:lineRule="auto"/>
        <w:ind w:right="276"/>
      </w:pPr>
      <w:r>
        <w:lastRenderedPageBreak/>
        <w:t>Create, in conjunction with education</w:t>
      </w:r>
      <w:r w:rsidR="00F85D8E">
        <w:t xml:space="preserve"> and research</w:t>
      </w:r>
      <w:r>
        <w:t xml:space="preserve"> faculty leadership, a program to increase the academic productivity of educational</w:t>
      </w:r>
      <w:r w:rsidR="00F85D8E">
        <w:t xml:space="preserve"> </w:t>
      </w:r>
      <w:r>
        <w:t>faculty by providing targeted research support to help non-research faculty develop areas of interest and concentrated research</w:t>
      </w:r>
      <w:r>
        <w:rPr>
          <w:spacing w:val="-28"/>
        </w:rPr>
        <w:t xml:space="preserve"> </w:t>
      </w:r>
      <w:r>
        <w:t>programs</w:t>
      </w:r>
    </w:p>
    <w:p w14:paraId="24FAC342" w14:textId="77777777" w:rsidR="005879FC" w:rsidRDefault="00703250">
      <w:pPr>
        <w:pStyle w:val="ListParagraph"/>
        <w:numPr>
          <w:ilvl w:val="2"/>
          <w:numId w:val="1"/>
        </w:numPr>
        <w:tabs>
          <w:tab w:val="left" w:pos="1560"/>
        </w:tabs>
        <w:spacing w:before="22"/>
        <w:ind w:right="334"/>
      </w:pPr>
      <w:r>
        <w:t>Assist with residency recruitment of candidates identified as potential future academic faculty by active participation in their interview</w:t>
      </w:r>
      <w:r>
        <w:rPr>
          <w:spacing w:val="-19"/>
        </w:rPr>
        <w:t xml:space="preserve"> </w:t>
      </w:r>
      <w:r>
        <w:t>process.</w:t>
      </w:r>
    </w:p>
    <w:p w14:paraId="432186CE" w14:textId="77777777" w:rsidR="005879FC" w:rsidRDefault="005879FC">
      <w:pPr>
        <w:pStyle w:val="BodyText"/>
        <w:ind w:left="0"/>
        <w:rPr>
          <w:sz w:val="24"/>
        </w:rPr>
      </w:pPr>
    </w:p>
    <w:p w14:paraId="783D5FC7" w14:textId="77777777" w:rsidR="005879FC" w:rsidRDefault="005879FC">
      <w:pPr>
        <w:pStyle w:val="BodyText"/>
        <w:spacing w:before="8"/>
        <w:ind w:left="0"/>
        <w:rPr>
          <w:sz w:val="19"/>
        </w:rPr>
      </w:pPr>
    </w:p>
    <w:p w14:paraId="6590586A" w14:textId="77777777" w:rsidR="00F17B8E" w:rsidRPr="00F17B8E" w:rsidRDefault="00703250" w:rsidP="00F17B8E">
      <w:pPr>
        <w:pStyle w:val="BodyText"/>
        <w:ind w:left="120" w:right="409"/>
        <w:rPr>
          <w:iCs/>
        </w:rPr>
      </w:pPr>
      <w:r>
        <w:t xml:space="preserve">Our </w:t>
      </w:r>
      <w:r>
        <w:rPr>
          <w:b/>
        </w:rPr>
        <w:t xml:space="preserve">vision </w:t>
      </w:r>
      <w:r>
        <w:t xml:space="preserve">for </w:t>
      </w:r>
      <w:r w:rsidR="00F17B8E">
        <w:t>RWJMS Department</w:t>
      </w:r>
      <w:r>
        <w:t xml:space="preserve"> of Emergency Medicine is </w:t>
      </w:r>
      <w:r w:rsidRPr="00F17B8E">
        <w:t xml:space="preserve">to </w:t>
      </w:r>
      <w:r w:rsidR="00F17B8E" w:rsidRPr="00F17B8E">
        <w:rPr>
          <w:iCs/>
        </w:rPr>
        <w:t>become the BEST Emergency Department in New Jersey</w:t>
      </w:r>
      <w:r w:rsidR="00F17B8E">
        <w:rPr>
          <w:iCs/>
        </w:rPr>
        <w:t xml:space="preserve">, the </w:t>
      </w:r>
      <w:r w:rsidR="00F17B8E" w:rsidRPr="00F17B8E">
        <w:rPr>
          <w:bCs/>
          <w:iCs/>
        </w:rPr>
        <w:t>Clinical and Academic Hub for Health System</w:t>
      </w:r>
      <w:r w:rsidR="00F17B8E">
        <w:rPr>
          <w:bCs/>
          <w:iCs/>
        </w:rPr>
        <w:t xml:space="preserve"> and a nationally recognized Academic Emergency Medicine Service line</w:t>
      </w:r>
    </w:p>
    <w:p w14:paraId="6D9CD5EA" w14:textId="77777777" w:rsidR="005879FC" w:rsidRPr="00F17B8E" w:rsidRDefault="005879FC">
      <w:pPr>
        <w:pStyle w:val="BodyText"/>
        <w:ind w:left="120" w:right="409"/>
      </w:pPr>
    </w:p>
    <w:p w14:paraId="34C75211" w14:textId="77777777" w:rsidR="005879FC" w:rsidRDefault="005879FC">
      <w:pPr>
        <w:pStyle w:val="BodyText"/>
        <w:ind w:left="0"/>
      </w:pPr>
    </w:p>
    <w:p w14:paraId="5DA42AEB" w14:textId="77777777" w:rsidR="005879FC" w:rsidRPr="00F17B8E" w:rsidRDefault="005879FC" w:rsidP="00F17B8E">
      <w:pPr>
        <w:pStyle w:val="BodyText"/>
        <w:spacing w:before="6"/>
        <w:ind w:left="0"/>
        <w:rPr>
          <w:b/>
          <w:sz w:val="28"/>
        </w:rPr>
      </w:pPr>
    </w:p>
    <w:p w14:paraId="7E0F63EA" w14:textId="77777777" w:rsidR="005879FC" w:rsidRDefault="00703250">
      <w:pPr>
        <w:pStyle w:val="Heading2"/>
        <w:spacing w:before="1"/>
      </w:pPr>
      <w:r>
        <w:t>Qualifications:</w:t>
      </w:r>
    </w:p>
    <w:p w14:paraId="2F791373" w14:textId="77777777" w:rsidR="005879FC" w:rsidRDefault="00703250">
      <w:pPr>
        <w:pStyle w:val="BodyText"/>
        <w:ind w:left="120" w:right="97"/>
      </w:pPr>
      <w:r>
        <w:t>M.D., D.O., or M.D./Ph.D. degree or equivalent with a record of accomplishments in research.</w:t>
      </w:r>
      <w:r w:rsidR="00F17B8E">
        <w:t xml:space="preserve"> Tenure/Tenure track eligible with a s</w:t>
      </w:r>
      <w:r>
        <w:t xml:space="preserve">trong record of accomplishment in research productivity, </w:t>
      </w:r>
      <w:r w:rsidR="00F17B8E">
        <w:t xml:space="preserve">including </w:t>
      </w:r>
      <w:r>
        <w:t>NIH (or comparable) peer-reviewed funding; significant experience obtaining and administering extramural funding from a range of sponsors.  Mentorship of junior faculty and trainees would be preferred.</w:t>
      </w:r>
    </w:p>
    <w:p w14:paraId="52EBFDF7" w14:textId="77777777" w:rsidR="005879FC" w:rsidRDefault="005879FC">
      <w:pPr>
        <w:pStyle w:val="BodyText"/>
        <w:ind w:left="0"/>
        <w:rPr>
          <w:sz w:val="24"/>
        </w:rPr>
      </w:pPr>
    </w:p>
    <w:p w14:paraId="427AC8BE" w14:textId="77777777" w:rsidR="005879FC" w:rsidRDefault="005879FC">
      <w:pPr>
        <w:pStyle w:val="BodyText"/>
        <w:ind w:left="0"/>
        <w:rPr>
          <w:sz w:val="24"/>
        </w:rPr>
      </w:pPr>
    </w:p>
    <w:p w14:paraId="7B73FCF5" w14:textId="621FD452" w:rsidR="005879FC" w:rsidRPr="00767230" w:rsidRDefault="00767230" w:rsidP="00767230">
      <w:pPr>
        <w:spacing w:before="90"/>
        <w:ind w:left="120" w:right="302"/>
        <w:rPr>
          <w:b/>
          <w:bCs/>
        </w:rPr>
      </w:pPr>
      <w:r w:rsidRPr="00767230">
        <w:rPr>
          <w:b/>
          <w:bCs/>
        </w:rPr>
        <w:t>Interested</w:t>
      </w:r>
      <w:r>
        <w:rPr>
          <w:b/>
          <w:bCs/>
        </w:rPr>
        <w:t xml:space="preserve"> applicants, please contact: Robert Eisenstein, MD via email at </w:t>
      </w:r>
      <w:hyperlink r:id="rId5" w:history="1">
        <w:r w:rsidRPr="00767230">
          <w:rPr>
            <w:rStyle w:val="Hyperlink"/>
            <w:b/>
            <w:bCs/>
          </w:rPr>
          <w:t>eisensrm@rwjms.rutgers.edu</w:t>
        </w:r>
      </w:hyperlink>
    </w:p>
    <w:sectPr w:rsidR="005879FC" w:rsidRPr="00767230">
      <w:pgSz w:w="12240" w:h="15840"/>
      <w:pgMar w:top="1360" w:right="14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92261"/>
    <w:multiLevelType w:val="hybridMultilevel"/>
    <w:tmpl w:val="553A0B14"/>
    <w:lvl w:ilvl="0" w:tplc="63760C44">
      <w:start w:val="1"/>
      <w:numFmt w:val="decimal"/>
      <w:lvlText w:val="%1."/>
      <w:lvlJc w:val="left"/>
      <w:pPr>
        <w:ind w:left="839" w:hanging="360"/>
        <w:jc w:val="left"/>
      </w:pPr>
      <w:rPr>
        <w:rFonts w:ascii="Times New Roman" w:eastAsia="Times New Roman" w:hAnsi="Times New Roman" w:cs="Times New Roman" w:hint="default"/>
        <w:w w:val="100"/>
        <w:sz w:val="22"/>
        <w:szCs w:val="22"/>
      </w:rPr>
    </w:lvl>
    <w:lvl w:ilvl="1" w:tplc="DDC6837C">
      <w:start w:val="1"/>
      <w:numFmt w:val="upperLetter"/>
      <w:lvlText w:val="%2."/>
      <w:lvlJc w:val="left"/>
      <w:pPr>
        <w:ind w:left="839" w:hanging="360"/>
        <w:jc w:val="left"/>
      </w:pPr>
      <w:rPr>
        <w:rFonts w:ascii="Times New Roman" w:eastAsia="Times New Roman" w:hAnsi="Times New Roman" w:cs="Times New Roman" w:hint="default"/>
        <w:color w:val="525252"/>
        <w:spacing w:val="-2"/>
        <w:w w:val="100"/>
        <w:sz w:val="22"/>
        <w:szCs w:val="22"/>
      </w:rPr>
    </w:lvl>
    <w:lvl w:ilvl="2" w:tplc="CAA4A216">
      <w:start w:val="1"/>
      <w:numFmt w:val="lowerLetter"/>
      <w:lvlText w:val="%3."/>
      <w:lvlJc w:val="left"/>
      <w:pPr>
        <w:ind w:left="1560" w:hanging="360"/>
        <w:jc w:val="left"/>
      </w:pPr>
      <w:rPr>
        <w:rFonts w:ascii="Times New Roman" w:eastAsia="Times New Roman" w:hAnsi="Times New Roman" w:cs="Times New Roman" w:hint="default"/>
        <w:spacing w:val="-4"/>
        <w:w w:val="100"/>
        <w:sz w:val="24"/>
        <w:szCs w:val="24"/>
      </w:rPr>
    </w:lvl>
    <w:lvl w:ilvl="3" w:tplc="BCE41670">
      <w:numFmt w:val="bullet"/>
      <w:lvlText w:val="•"/>
      <w:lvlJc w:val="left"/>
      <w:pPr>
        <w:ind w:left="3324" w:hanging="360"/>
      </w:pPr>
      <w:rPr>
        <w:rFonts w:hint="default"/>
      </w:rPr>
    </w:lvl>
    <w:lvl w:ilvl="4" w:tplc="1C0C3F2E">
      <w:numFmt w:val="bullet"/>
      <w:lvlText w:val="•"/>
      <w:lvlJc w:val="left"/>
      <w:pPr>
        <w:ind w:left="4206" w:hanging="360"/>
      </w:pPr>
      <w:rPr>
        <w:rFonts w:hint="default"/>
      </w:rPr>
    </w:lvl>
    <w:lvl w:ilvl="5" w:tplc="266EB550">
      <w:numFmt w:val="bullet"/>
      <w:lvlText w:val="•"/>
      <w:lvlJc w:val="left"/>
      <w:pPr>
        <w:ind w:left="5088" w:hanging="360"/>
      </w:pPr>
      <w:rPr>
        <w:rFonts w:hint="default"/>
      </w:rPr>
    </w:lvl>
    <w:lvl w:ilvl="6" w:tplc="2B0A7110">
      <w:numFmt w:val="bullet"/>
      <w:lvlText w:val="•"/>
      <w:lvlJc w:val="left"/>
      <w:pPr>
        <w:ind w:left="5971" w:hanging="360"/>
      </w:pPr>
      <w:rPr>
        <w:rFonts w:hint="default"/>
      </w:rPr>
    </w:lvl>
    <w:lvl w:ilvl="7" w:tplc="FC1A1384">
      <w:numFmt w:val="bullet"/>
      <w:lvlText w:val="•"/>
      <w:lvlJc w:val="left"/>
      <w:pPr>
        <w:ind w:left="6853" w:hanging="360"/>
      </w:pPr>
      <w:rPr>
        <w:rFonts w:hint="default"/>
      </w:rPr>
    </w:lvl>
    <w:lvl w:ilvl="8" w:tplc="348650E8">
      <w:numFmt w:val="bullet"/>
      <w:lvlText w:val="•"/>
      <w:lvlJc w:val="left"/>
      <w:pPr>
        <w:ind w:left="773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9FC"/>
    <w:rsid w:val="00050F38"/>
    <w:rsid w:val="000E0BB4"/>
    <w:rsid w:val="004260C3"/>
    <w:rsid w:val="005879FC"/>
    <w:rsid w:val="00703250"/>
    <w:rsid w:val="00767230"/>
    <w:rsid w:val="00C63319"/>
    <w:rsid w:val="00F17B8E"/>
    <w:rsid w:val="00F36A1E"/>
    <w:rsid w:val="00F85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0427B"/>
  <w15:docId w15:val="{945393D9-DA93-44F5-9158-CA0C319A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9"/>
      <w:outlineLvl w:val="0"/>
    </w:pPr>
    <w:rPr>
      <w:sz w:val="24"/>
      <w:szCs w:val="24"/>
    </w:rPr>
  </w:style>
  <w:style w:type="paragraph" w:styleId="Heading2">
    <w:name w:val="heading 2"/>
    <w:basedOn w:val="Normal"/>
    <w:uiPriority w:val="1"/>
    <w:qFormat/>
    <w:pPr>
      <w:spacing w:line="252" w:lineRule="exact"/>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0"/>
    </w:pPr>
  </w:style>
  <w:style w:type="paragraph" w:styleId="ListParagraph">
    <w:name w:val="List Paragraph"/>
    <w:basedOn w:val="Normal"/>
    <w:uiPriority w:val="1"/>
    <w:qFormat/>
    <w:pPr>
      <w:spacing w:line="252" w:lineRule="exact"/>
      <w:ind w:left="1560" w:hanging="36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F17B8E"/>
    <w:pPr>
      <w:widowControl/>
      <w:autoSpaceDE/>
      <w:autoSpaceDN/>
      <w:spacing w:before="100" w:beforeAutospacing="1" w:after="100" w:afterAutospacing="1"/>
    </w:pPr>
    <w:rPr>
      <w:sz w:val="24"/>
      <w:szCs w:val="24"/>
    </w:rPr>
  </w:style>
  <w:style w:type="character" w:styleId="Hyperlink">
    <w:name w:val="Hyperlink"/>
    <w:basedOn w:val="DefaultParagraphFont"/>
    <w:uiPriority w:val="99"/>
    <w:unhideWhenUsed/>
    <w:rsid w:val="00767230"/>
    <w:rPr>
      <w:color w:val="0000FF" w:themeColor="hyperlink"/>
      <w:u w:val="single"/>
    </w:rPr>
  </w:style>
  <w:style w:type="character" w:styleId="UnresolvedMention">
    <w:name w:val="Unresolved Mention"/>
    <w:basedOn w:val="DefaultParagraphFont"/>
    <w:uiPriority w:val="99"/>
    <w:semiHidden/>
    <w:unhideWhenUsed/>
    <w:rsid w:val="00767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865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isensrm@rwjms.rutger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UMDNJ</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Ambrosya Amlong</dc:creator>
  <cp:lastModifiedBy>Mig Torres</cp:lastModifiedBy>
  <cp:revision>3</cp:revision>
  <dcterms:created xsi:type="dcterms:W3CDTF">2022-02-08T21:06:00Z</dcterms:created>
  <dcterms:modified xsi:type="dcterms:W3CDTF">2022-02-08T21:09:00Z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2021-06-02T00:00:00Z</vt:filetime>
  </property>
  <property fmtid="{D5CDD505-2E9C-101B-9397-08002B2CF9AE}" pid="3" name="Creator">
    <vt:lpwstr>Acrobat PDFMaker 21 for Word</vt:lpwstr>
  </property>
  <property fmtid="{D5CDD505-2E9C-101B-9397-08002B2CF9AE}" pid="4" name="LastSaved">
    <vt:filetime>2021-12-17T00:00:00Z</vt:filetime>
  </property>
</Properties>
</file>